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E6672" w:rsidRDefault="00066563">
      <w:pPr>
        <w:jc w:val="center"/>
        <w:outlineLvl w:val="0"/>
        <w:rPr>
          <w:rFonts w:ascii="微软雅黑" w:eastAsia="微软雅黑" w:hAnsi="微软雅黑" w:cs="微软雅黑"/>
          <w:b/>
          <w:bCs/>
          <w:sz w:val="44"/>
          <w:szCs w:val="44"/>
        </w:rPr>
      </w:pPr>
      <w:r w:rsidRPr="00066563">
        <w:rPr>
          <w:rFonts w:ascii="微软雅黑" w:eastAsia="微软雅黑" w:hAnsi="微软雅黑" w:cs="微软雅黑" w:hint="eastAsia"/>
          <w:b/>
          <w:bCs/>
          <w:sz w:val="44"/>
          <w:szCs w:val="44"/>
        </w:rPr>
        <w:t>自然人税收管理系统扣缴客户端</w:t>
      </w:r>
      <w:bookmarkStart w:id="0" w:name="_GoBack"/>
      <w:bookmarkEnd w:id="0"/>
      <w:r>
        <w:rPr>
          <w:rFonts w:ascii="微软雅黑" w:eastAsia="微软雅黑" w:hAnsi="微软雅黑" w:cs="微软雅黑" w:hint="eastAsia"/>
          <w:b/>
          <w:bCs/>
          <w:sz w:val="44"/>
          <w:szCs w:val="44"/>
        </w:rPr>
        <w:t>驱动程序安装说明</w:t>
      </w:r>
    </w:p>
    <w:p w:rsidR="006E6672" w:rsidRDefault="006E6672">
      <w:pPr>
        <w:jc w:val="center"/>
        <w:rPr>
          <w:rFonts w:ascii="微软雅黑" w:eastAsia="微软雅黑" w:hAnsi="微软雅黑" w:cs="微软雅黑"/>
          <w:sz w:val="44"/>
          <w:szCs w:val="44"/>
        </w:rPr>
      </w:pPr>
    </w:p>
    <w:p w:rsidR="006E6672" w:rsidRDefault="00066563">
      <w:pPr>
        <w:jc w:val="left"/>
        <w:outlineLvl w:val="1"/>
        <w:rPr>
          <w:rFonts w:ascii="微软雅黑" w:eastAsia="微软雅黑" w:hAnsi="微软雅黑" w:cs="微软雅黑"/>
          <w:b/>
          <w:bCs/>
          <w:sz w:val="28"/>
          <w:szCs w:val="28"/>
        </w:rPr>
      </w:pPr>
      <w:r>
        <w:rPr>
          <w:rFonts w:ascii="微软雅黑" w:eastAsia="微软雅黑" w:hAnsi="微软雅黑" w:cs="微软雅黑" w:hint="eastAsia"/>
          <w:b/>
          <w:bCs/>
          <w:sz w:val="28"/>
          <w:szCs w:val="28"/>
        </w:rPr>
        <w:t>一、操作前提：</w:t>
      </w:r>
    </w:p>
    <w:p w:rsidR="006E6672" w:rsidRDefault="00066563">
      <w:pPr>
        <w:ind w:firstLineChars="200" w:firstLine="480"/>
        <w:jc w:val="left"/>
        <w:outlineLvl w:val="2"/>
        <w:rPr>
          <w:rFonts w:ascii="微软雅黑" w:eastAsia="微软雅黑" w:hAnsi="微软雅黑" w:cs="微软雅黑"/>
          <w:sz w:val="24"/>
        </w:rPr>
      </w:pPr>
      <w:r>
        <w:rPr>
          <w:rFonts w:ascii="微软雅黑" w:eastAsia="微软雅黑" w:hAnsi="微软雅黑" w:cs="微软雅黑" w:hint="eastAsia"/>
          <w:b/>
          <w:bCs/>
          <w:sz w:val="24"/>
        </w:rPr>
        <w:t>1</w:t>
      </w:r>
      <w:r>
        <w:rPr>
          <w:rFonts w:ascii="微软雅黑" w:eastAsia="微软雅黑" w:hAnsi="微软雅黑" w:cs="微软雅黑" w:hint="eastAsia"/>
          <w:sz w:val="24"/>
        </w:rPr>
        <w:t>.目前湖北最新的自然人税收管理系统扣缴客户端申报安全认证已经加入总局IA，</w:t>
      </w:r>
    </w:p>
    <w:p w:rsidR="006E6672" w:rsidRDefault="00066563">
      <w:pPr>
        <w:ind w:firstLineChars="200" w:firstLine="480"/>
        <w:jc w:val="left"/>
        <w:outlineLvl w:val="2"/>
        <w:rPr>
          <w:rFonts w:ascii="微软雅黑" w:eastAsia="微软雅黑" w:hAnsi="微软雅黑" w:cs="微软雅黑"/>
          <w:sz w:val="24"/>
        </w:rPr>
      </w:pPr>
      <w:r>
        <w:rPr>
          <w:rFonts w:ascii="微软雅黑" w:eastAsia="微软雅黑" w:hAnsi="微软雅黑" w:cs="微软雅黑" w:hint="eastAsia"/>
          <w:b/>
          <w:bCs/>
          <w:sz w:val="24"/>
        </w:rPr>
        <w:t>2</w:t>
      </w:r>
      <w:r>
        <w:rPr>
          <w:rFonts w:ascii="微软雅黑" w:eastAsia="微软雅黑" w:hAnsi="微软雅黑" w:cs="微软雅黑" w:hint="eastAsia"/>
          <w:sz w:val="24"/>
        </w:rPr>
        <w:t>.总局IA支持设备包括：航信金税盘，百旺税控盘，文鼎创钥匙</w:t>
      </w:r>
    </w:p>
    <w:p w:rsidR="006E6672" w:rsidRDefault="00066563">
      <w:pPr>
        <w:jc w:val="left"/>
        <w:outlineLvl w:val="1"/>
        <w:rPr>
          <w:rFonts w:ascii="微软雅黑" w:eastAsia="微软雅黑" w:hAnsi="微软雅黑" w:cs="微软雅黑"/>
          <w:b/>
          <w:bCs/>
          <w:sz w:val="28"/>
          <w:szCs w:val="28"/>
        </w:rPr>
      </w:pPr>
      <w:r>
        <w:rPr>
          <w:rFonts w:ascii="微软雅黑" w:eastAsia="微软雅黑" w:hAnsi="微软雅黑" w:cs="微软雅黑" w:hint="eastAsia"/>
          <w:b/>
          <w:bCs/>
          <w:sz w:val="28"/>
          <w:szCs w:val="28"/>
        </w:rPr>
        <w:t>二、操作方法</w:t>
      </w:r>
    </w:p>
    <w:p w:rsidR="006E6672" w:rsidRDefault="00066563">
      <w:pPr>
        <w:spacing w:line="360" w:lineRule="auto"/>
        <w:outlineLvl w:val="2"/>
        <w:rPr>
          <w:rFonts w:ascii="微软雅黑" w:eastAsia="微软雅黑" w:hAnsi="微软雅黑" w:cs="微软雅黑"/>
          <w:sz w:val="24"/>
        </w:rPr>
      </w:pPr>
      <w:r>
        <w:rPr>
          <w:rFonts w:ascii="微软雅黑" w:eastAsia="微软雅黑" w:hAnsi="微软雅黑" w:cs="微软雅黑" w:hint="eastAsia"/>
          <w:sz w:val="24"/>
        </w:rPr>
        <w:t>1.打开自然人税收管理扣缴客户端，并将申报模式切换为总局IA，截图如下。</w:t>
      </w:r>
    </w:p>
    <w:p w:rsidR="006E6672" w:rsidRDefault="00066563">
      <w:pPr>
        <w:spacing w:line="360" w:lineRule="auto"/>
        <w:jc w:val="center"/>
        <w:rPr>
          <w:rFonts w:ascii="微软雅黑" w:eastAsia="微软雅黑" w:hAnsi="微软雅黑" w:cs="微软雅黑"/>
          <w:sz w:val="24"/>
        </w:rPr>
      </w:pPr>
      <w:r>
        <w:rPr>
          <w:rFonts w:ascii="微软雅黑" w:eastAsia="微软雅黑" w:hAnsi="微软雅黑" w:cs="微软雅黑" w:hint="eastAsia"/>
          <w:noProof/>
          <w:sz w:val="24"/>
        </w:rPr>
        <w:drawing>
          <wp:inline distT="0" distB="0" distL="114300" distR="114300">
            <wp:extent cx="3688715" cy="4071620"/>
            <wp:effectExtent l="0" t="0" r="6985" b="5080"/>
            <wp:docPr id="3" name="图片 3" descr="无标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无标题"/>
                    <pic:cNvPicPr>
                      <a:picLocks noChangeAspect="1"/>
                    </pic:cNvPicPr>
                  </pic:nvPicPr>
                  <pic:blipFill>
                    <a:blip r:embed="rId7"/>
                    <a:stretch>
                      <a:fillRect/>
                    </a:stretch>
                  </pic:blipFill>
                  <pic:spPr>
                    <a:xfrm>
                      <a:off x="0" y="0"/>
                      <a:ext cx="3688715" cy="4071620"/>
                    </a:xfrm>
                    <a:prstGeom prst="rect">
                      <a:avLst/>
                    </a:prstGeom>
                  </pic:spPr>
                </pic:pic>
              </a:graphicData>
            </a:graphic>
          </wp:inline>
        </w:drawing>
      </w:r>
    </w:p>
    <w:p w:rsidR="006E6672" w:rsidRDefault="00066563">
      <w:pPr>
        <w:spacing w:line="360" w:lineRule="auto"/>
        <w:outlineLvl w:val="2"/>
        <w:rPr>
          <w:rFonts w:ascii="微软雅黑" w:eastAsia="微软雅黑" w:hAnsi="微软雅黑" w:cs="微软雅黑"/>
          <w:sz w:val="24"/>
        </w:rPr>
      </w:pPr>
      <w:r>
        <w:rPr>
          <w:rFonts w:ascii="微软雅黑" w:eastAsia="微软雅黑" w:hAnsi="微软雅黑" w:cs="微软雅黑" w:hint="eastAsia"/>
          <w:sz w:val="24"/>
        </w:rPr>
        <w:t>2.按照总局IA支持的不同设备来安装对应驱动</w:t>
      </w:r>
    </w:p>
    <w:p w:rsidR="006E6672" w:rsidRDefault="00066563">
      <w:pPr>
        <w:spacing w:line="360" w:lineRule="auto"/>
        <w:outlineLvl w:val="3"/>
        <w:rPr>
          <w:rFonts w:ascii="微软雅黑" w:eastAsia="微软雅黑" w:hAnsi="微软雅黑" w:cs="微软雅黑"/>
          <w:sz w:val="24"/>
        </w:rPr>
      </w:pPr>
      <w:r>
        <w:rPr>
          <w:rFonts w:ascii="微软雅黑" w:eastAsia="微软雅黑" w:hAnsi="微软雅黑" w:cs="微软雅黑" w:hint="eastAsia"/>
          <w:sz w:val="24"/>
        </w:rPr>
        <w:lastRenderedPageBreak/>
        <w:t>2.1自然人税收管理扣缴客户端使用百旺税控盘申报个人所得税的操作方法：</w:t>
      </w:r>
    </w:p>
    <w:p w:rsidR="006E6672" w:rsidRDefault="00066563">
      <w:pPr>
        <w:spacing w:line="360" w:lineRule="auto"/>
        <w:outlineLvl w:val="4"/>
        <w:rPr>
          <w:rFonts w:ascii="微软雅黑" w:eastAsia="微软雅黑" w:hAnsi="微软雅黑" w:cs="微软雅黑"/>
          <w:sz w:val="24"/>
        </w:rPr>
      </w:pPr>
      <w:r>
        <w:rPr>
          <w:rFonts w:ascii="微软雅黑" w:eastAsia="微软雅黑" w:hAnsi="微软雅黑" w:cs="微软雅黑" w:hint="eastAsia"/>
          <w:sz w:val="24"/>
        </w:rPr>
        <w:t>①先下载附件-税控盘驱动安装包压缩文件</w:t>
      </w:r>
    </w:p>
    <w:p w:rsidR="006E6672" w:rsidRDefault="004B1CCE">
      <w:pPr>
        <w:spacing w:line="360" w:lineRule="auto"/>
        <w:jc w:val="center"/>
        <w:rPr>
          <w:rFonts w:ascii="微软雅黑" w:eastAsia="微软雅黑" w:hAnsi="微软雅黑" w:cs="微软雅黑"/>
          <w:sz w:val="24"/>
        </w:rPr>
      </w:pPr>
      <w:r>
        <w:rPr>
          <w:rFonts w:ascii="微软雅黑" w:eastAsia="微软雅黑" w:hAnsi="微软雅黑" w:cs="微软雅黑" w:hint="eastAsia"/>
          <w:sz w:val="24"/>
        </w:rPr>
        <w:object w:dxaOrig="1440" w:dyaOrig="13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65.25pt" o:ole="">
            <v:imagedata r:id="rId8" o:title=""/>
          </v:shape>
          <o:OLEObject Type="Embed" ProgID="Package" ShapeID="_x0000_i1025" DrawAspect="Icon" ObjectID="_1626602098" r:id="rId9"/>
        </w:object>
      </w:r>
    </w:p>
    <w:p w:rsidR="006E6672" w:rsidRDefault="00066563">
      <w:pPr>
        <w:spacing w:line="360" w:lineRule="auto"/>
        <w:outlineLvl w:val="4"/>
        <w:rPr>
          <w:rFonts w:ascii="微软雅黑" w:eastAsia="微软雅黑" w:hAnsi="微软雅黑" w:cs="微软雅黑"/>
          <w:sz w:val="24"/>
        </w:rPr>
      </w:pPr>
      <w:r>
        <w:rPr>
          <w:rFonts w:ascii="微软雅黑" w:eastAsia="微软雅黑" w:hAnsi="微软雅黑" w:cs="微软雅黑" w:hint="eastAsia"/>
          <w:sz w:val="24"/>
        </w:rPr>
        <w:t>②按照税控盘的安装说明来安装税控盘驱动</w:t>
      </w:r>
    </w:p>
    <w:p w:rsidR="006E6672" w:rsidRDefault="00066563">
      <w:pPr>
        <w:spacing w:line="360" w:lineRule="auto"/>
        <w:jc w:val="center"/>
        <w:rPr>
          <w:rFonts w:ascii="微软雅黑" w:eastAsia="微软雅黑" w:hAnsi="微软雅黑" w:cs="微软雅黑"/>
          <w:sz w:val="24"/>
        </w:rPr>
      </w:pPr>
      <w:r>
        <w:rPr>
          <w:rFonts w:ascii="微软雅黑" w:eastAsia="微软雅黑" w:hAnsi="微软雅黑" w:cs="微软雅黑" w:hint="eastAsia"/>
          <w:noProof/>
          <w:sz w:val="24"/>
        </w:rPr>
        <w:drawing>
          <wp:inline distT="0" distB="0" distL="114300" distR="114300">
            <wp:extent cx="5273675" cy="3611880"/>
            <wp:effectExtent l="0" t="0" r="3175" b="762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10"/>
                    <a:stretch>
                      <a:fillRect/>
                    </a:stretch>
                  </pic:blipFill>
                  <pic:spPr>
                    <a:xfrm>
                      <a:off x="0" y="0"/>
                      <a:ext cx="5273675" cy="3611880"/>
                    </a:xfrm>
                    <a:prstGeom prst="rect">
                      <a:avLst/>
                    </a:prstGeom>
                    <a:noFill/>
                    <a:ln w="9525">
                      <a:noFill/>
                    </a:ln>
                  </pic:spPr>
                </pic:pic>
              </a:graphicData>
            </a:graphic>
          </wp:inline>
        </w:drawing>
      </w:r>
    </w:p>
    <w:p w:rsidR="006E6672" w:rsidRDefault="00066563">
      <w:pPr>
        <w:spacing w:line="360" w:lineRule="auto"/>
        <w:outlineLvl w:val="4"/>
        <w:rPr>
          <w:rFonts w:ascii="微软雅黑" w:eastAsia="微软雅黑" w:hAnsi="微软雅黑" w:cs="微软雅黑"/>
          <w:sz w:val="24"/>
        </w:rPr>
      </w:pPr>
      <w:r>
        <w:rPr>
          <w:rFonts w:ascii="微软雅黑" w:eastAsia="微软雅黑" w:hAnsi="微软雅黑" w:cs="微软雅黑" w:hint="eastAsia"/>
          <w:sz w:val="24"/>
        </w:rPr>
        <w:t>③下载附件“应用安全支撑平台安全客户端控件v2.17.exe”，并安装。</w:t>
      </w:r>
    </w:p>
    <w:p w:rsidR="006E6672" w:rsidRDefault="00066563">
      <w:pPr>
        <w:spacing w:line="360" w:lineRule="auto"/>
        <w:jc w:val="center"/>
        <w:rPr>
          <w:rFonts w:ascii="微软雅黑" w:eastAsia="微软雅黑" w:hAnsi="微软雅黑" w:cs="微软雅黑"/>
          <w:sz w:val="24"/>
        </w:rPr>
      </w:pPr>
      <w:r>
        <w:rPr>
          <w:rFonts w:ascii="微软雅黑" w:eastAsia="微软雅黑" w:hAnsi="微软雅黑" w:cs="微软雅黑" w:hint="eastAsia"/>
          <w:sz w:val="24"/>
        </w:rPr>
        <w:object w:dxaOrig="1455" w:dyaOrig="1320">
          <v:shape id="_x0000_i1026" type="#_x0000_t75" style="width:72.75pt;height:66pt" o:ole="">
            <v:imagedata r:id="rId11" o:title=""/>
          </v:shape>
          <o:OLEObject Type="Embed" ProgID="Package" ShapeID="_x0000_i1026" DrawAspect="Icon" ObjectID="_1626602099" r:id="rId12"/>
        </w:object>
      </w:r>
    </w:p>
    <w:p w:rsidR="006E6672" w:rsidRDefault="00066563">
      <w:pPr>
        <w:spacing w:line="360" w:lineRule="auto"/>
        <w:outlineLvl w:val="4"/>
        <w:rPr>
          <w:rFonts w:ascii="微软雅黑" w:eastAsia="微软雅黑" w:hAnsi="微软雅黑" w:cs="微软雅黑"/>
          <w:sz w:val="24"/>
        </w:rPr>
      </w:pPr>
      <w:r>
        <w:rPr>
          <w:rFonts w:ascii="微软雅黑" w:eastAsia="微软雅黑" w:hAnsi="微软雅黑" w:cs="微软雅黑" w:hint="eastAsia"/>
          <w:sz w:val="24"/>
        </w:rPr>
        <w:t>④安装完百旺税控盘驱动和客户端控件v2.17，查看桌面存在图标，双击图标运行检测工具，确定IA设备有公司。</w:t>
      </w:r>
    </w:p>
    <w:p w:rsidR="006E6672" w:rsidRDefault="00066563">
      <w:pPr>
        <w:spacing w:line="360" w:lineRule="auto"/>
        <w:jc w:val="center"/>
        <w:rPr>
          <w:rFonts w:ascii="微软雅黑" w:eastAsia="微软雅黑" w:hAnsi="微软雅黑" w:cs="微软雅黑"/>
          <w:sz w:val="24"/>
        </w:rPr>
      </w:pPr>
      <w:r>
        <w:rPr>
          <w:rFonts w:ascii="微软雅黑" w:eastAsia="微软雅黑" w:hAnsi="微软雅黑" w:cs="微软雅黑" w:hint="eastAsia"/>
          <w:noProof/>
          <w:sz w:val="24"/>
        </w:rPr>
        <w:lastRenderedPageBreak/>
        <w:drawing>
          <wp:inline distT="0" distB="0" distL="114300" distR="114300">
            <wp:extent cx="723900" cy="866775"/>
            <wp:effectExtent l="12700" t="12700" r="25400" b="15875"/>
            <wp:docPr id="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pic:cNvPicPr>
                      <a:picLocks noChangeAspect="1"/>
                    </pic:cNvPicPr>
                  </pic:nvPicPr>
                  <pic:blipFill>
                    <a:blip r:embed="rId13"/>
                    <a:stretch>
                      <a:fillRect/>
                    </a:stretch>
                  </pic:blipFill>
                  <pic:spPr>
                    <a:xfrm>
                      <a:off x="0" y="0"/>
                      <a:ext cx="723900" cy="866775"/>
                    </a:xfrm>
                    <a:prstGeom prst="rect">
                      <a:avLst/>
                    </a:prstGeom>
                    <a:noFill/>
                    <a:ln w="12700">
                      <a:solidFill>
                        <a:schemeClr val="tx1"/>
                      </a:solidFill>
                    </a:ln>
                  </pic:spPr>
                </pic:pic>
              </a:graphicData>
            </a:graphic>
          </wp:inline>
        </w:drawing>
      </w:r>
      <w:r>
        <w:rPr>
          <w:rFonts w:ascii="微软雅黑" w:eastAsia="微软雅黑" w:hAnsi="微软雅黑" w:cs="微软雅黑" w:hint="eastAsia"/>
          <w:noProof/>
          <w:sz w:val="24"/>
        </w:rPr>
        <w:drawing>
          <wp:inline distT="0" distB="0" distL="114300" distR="114300">
            <wp:extent cx="5272405" cy="4008120"/>
            <wp:effectExtent l="12700" t="12700" r="29845" b="1778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pic:cNvPicPr>
                  </pic:nvPicPr>
                  <pic:blipFill>
                    <a:blip r:embed="rId14"/>
                    <a:stretch>
                      <a:fillRect/>
                    </a:stretch>
                  </pic:blipFill>
                  <pic:spPr>
                    <a:xfrm>
                      <a:off x="0" y="0"/>
                      <a:ext cx="5272405" cy="4008120"/>
                    </a:xfrm>
                    <a:prstGeom prst="rect">
                      <a:avLst/>
                    </a:prstGeom>
                    <a:noFill/>
                    <a:ln w="12700">
                      <a:solidFill>
                        <a:schemeClr val="tx1"/>
                      </a:solidFill>
                    </a:ln>
                  </pic:spPr>
                </pic:pic>
              </a:graphicData>
            </a:graphic>
          </wp:inline>
        </w:drawing>
      </w:r>
    </w:p>
    <w:p w:rsidR="006E6672" w:rsidRDefault="00066563">
      <w:pPr>
        <w:spacing w:line="360" w:lineRule="auto"/>
        <w:outlineLvl w:val="4"/>
        <w:rPr>
          <w:rFonts w:ascii="微软雅黑" w:eastAsia="微软雅黑" w:hAnsi="微软雅黑" w:cs="微软雅黑"/>
          <w:sz w:val="24"/>
        </w:rPr>
      </w:pPr>
      <w:r>
        <w:rPr>
          <w:rFonts w:ascii="微软雅黑" w:eastAsia="微软雅黑" w:hAnsi="微软雅黑" w:cs="微软雅黑" w:hint="eastAsia"/>
          <w:sz w:val="24"/>
        </w:rPr>
        <w:t>⑤打开自然人税收管理扣缴客户端，完成申报流程。</w:t>
      </w:r>
    </w:p>
    <w:p w:rsidR="006E6672" w:rsidRDefault="00066563">
      <w:pPr>
        <w:spacing w:line="360" w:lineRule="auto"/>
        <w:outlineLvl w:val="3"/>
        <w:rPr>
          <w:rFonts w:ascii="微软雅黑" w:eastAsia="微软雅黑" w:hAnsi="微软雅黑" w:cs="微软雅黑"/>
          <w:sz w:val="24"/>
        </w:rPr>
      </w:pPr>
      <w:r>
        <w:rPr>
          <w:rFonts w:ascii="微软雅黑" w:eastAsia="微软雅黑" w:hAnsi="微软雅黑" w:cs="微软雅黑" w:hint="eastAsia"/>
          <w:sz w:val="24"/>
        </w:rPr>
        <w:t>2.2 自然人税收管理扣缴客户端使用文鼎创钥匙申报个人所得税的操作方法：</w:t>
      </w:r>
    </w:p>
    <w:p w:rsidR="006E6672" w:rsidRDefault="00066563">
      <w:pPr>
        <w:spacing w:line="360" w:lineRule="auto"/>
        <w:outlineLvl w:val="4"/>
        <w:rPr>
          <w:rFonts w:ascii="微软雅黑" w:eastAsia="微软雅黑" w:hAnsi="微软雅黑" w:cs="微软雅黑"/>
          <w:sz w:val="24"/>
        </w:rPr>
      </w:pPr>
      <w:r>
        <w:rPr>
          <w:rFonts w:ascii="微软雅黑" w:eastAsia="微软雅黑" w:hAnsi="微软雅黑" w:cs="微软雅黑" w:hint="eastAsia"/>
          <w:sz w:val="24"/>
        </w:rPr>
        <w:t>①先下载附件-文鼎创钥匙驱动安装文件</w:t>
      </w:r>
    </w:p>
    <w:p w:rsidR="006E6672" w:rsidRDefault="00066563">
      <w:pPr>
        <w:spacing w:line="360" w:lineRule="auto"/>
        <w:jc w:val="center"/>
        <w:rPr>
          <w:rFonts w:ascii="微软雅黑" w:eastAsia="微软雅黑" w:hAnsi="微软雅黑" w:cs="微软雅黑"/>
          <w:sz w:val="24"/>
        </w:rPr>
      </w:pPr>
      <w:r>
        <w:rPr>
          <w:rFonts w:ascii="微软雅黑" w:eastAsia="微软雅黑" w:hAnsi="微软雅黑" w:cs="微软雅黑" w:hint="eastAsia"/>
          <w:sz w:val="24"/>
        </w:rPr>
        <w:object w:dxaOrig="1455" w:dyaOrig="1320">
          <v:shape id="_x0000_i1027" type="#_x0000_t75" style="width:72.75pt;height:66pt" o:ole="">
            <v:imagedata r:id="rId15" o:title=""/>
          </v:shape>
          <o:OLEObject Type="Embed" ProgID="Package" ShapeID="_x0000_i1027" DrawAspect="Icon" ObjectID="_1626602100" r:id="rId16"/>
        </w:object>
      </w:r>
    </w:p>
    <w:p w:rsidR="006E6672" w:rsidRDefault="00066563">
      <w:pPr>
        <w:spacing w:line="360" w:lineRule="auto"/>
        <w:outlineLvl w:val="4"/>
        <w:rPr>
          <w:rFonts w:ascii="微软雅黑" w:eastAsia="微软雅黑" w:hAnsi="微软雅黑" w:cs="微软雅黑"/>
          <w:sz w:val="24"/>
        </w:rPr>
      </w:pPr>
      <w:r>
        <w:rPr>
          <w:rFonts w:ascii="微软雅黑" w:eastAsia="微软雅黑" w:hAnsi="微软雅黑" w:cs="微软雅黑" w:hint="eastAsia"/>
          <w:sz w:val="24"/>
        </w:rPr>
        <w:t>②安装文鼎创钥匙驱动文件</w:t>
      </w:r>
    </w:p>
    <w:p w:rsidR="006E6672" w:rsidRDefault="00066563">
      <w:pPr>
        <w:spacing w:line="360" w:lineRule="auto"/>
        <w:jc w:val="center"/>
        <w:rPr>
          <w:rFonts w:ascii="微软雅黑" w:eastAsia="微软雅黑" w:hAnsi="微软雅黑" w:cs="微软雅黑"/>
          <w:sz w:val="24"/>
        </w:rPr>
      </w:pPr>
      <w:r>
        <w:rPr>
          <w:rFonts w:ascii="微软雅黑" w:eastAsia="微软雅黑" w:hAnsi="微软雅黑" w:cs="微软雅黑" w:hint="eastAsia"/>
          <w:noProof/>
          <w:sz w:val="24"/>
        </w:rPr>
        <w:lastRenderedPageBreak/>
        <w:drawing>
          <wp:inline distT="0" distB="0" distL="114300" distR="114300">
            <wp:extent cx="4790440" cy="3428365"/>
            <wp:effectExtent l="12700" t="12700" r="16510" b="26035"/>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pic:cNvPicPr>
                  </pic:nvPicPr>
                  <pic:blipFill>
                    <a:blip r:embed="rId17"/>
                    <a:stretch>
                      <a:fillRect/>
                    </a:stretch>
                  </pic:blipFill>
                  <pic:spPr>
                    <a:xfrm>
                      <a:off x="0" y="0"/>
                      <a:ext cx="4790440" cy="3428365"/>
                    </a:xfrm>
                    <a:prstGeom prst="rect">
                      <a:avLst/>
                    </a:prstGeom>
                    <a:noFill/>
                    <a:ln w="12700">
                      <a:solidFill>
                        <a:schemeClr val="tx1"/>
                      </a:solidFill>
                    </a:ln>
                  </pic:spPr>
                </pic:pic>
              </a:graphicData>
            </a:graphic>
          </wp:inline>
        </w:drawing>
      </w:r>
    </w:p>
    <w:p w:rsidR="006E6672" w:rsidRDefault="00066563">
      <w:pPr>
        <w:spacing w:line="360" w:lineRule="auto"/>
        <w:outlineLvl w:val="4"/>
        <w:rPr>
          <w:rFonts w:ascii="微软雅黑" w:eastAsia="微软雅黑" w:hAnsi="微软雅黑" w:cs="微软雅黑"/>
          <w:sz w:val="24"/>
        </w:rPr>
      </w:pPr>
      <w:r>
        <w:rPr>
          <w:rFonts w:ascii="微软雅黑" w:eastAsia="微软雅黑" w:hAnsi="微软雅黑" w:cs="微软雅黑" w:hint="eastAsia"/>
          <w:sz w:val="24"/>
        </w:rPr>
        <w:t>③下载附件“应用安全支撑平台安全客户端控件v2.17.exe”，并安装。</w:t>
      </w:r>
    </w:p>
    <w:p w:rsidR="006E6672" w:rsidRDefault="00066563">
      <w:pPr>
        <w:spacing w:line="360" w:lineRule="auto"/>
        <w:jc w:val="center"/>
        <w:rPr>
          <w:rFonts w:ascii="微软雅黑" w:eastAsia="微软雅黑" w:hAnsi="微软雅黑" w:cs="微软雅黑"/>
          <w:sz w:val="24"/>
        </w:rPr>
      </w:pPr>
      <w:r>
        <w:rPr>
          <w:rFonts w:ascii="微软雅黑" w:eastAsia="微软雅黑" w:hAnsi="微软雅黑" w:cs="微软雅黑" w:hint="eastAsia"/>
          <w:sz w:val="24"/>
        </w:rPr>
        <w:object w:dxaOrig="1455" w:dyaOrig="1320">
          <v:shape id="_x0000_i1028" type="#_x0000_t75" style="width:72.75pt;height:66pt" o:ole="">
            <v:imagedata r:id="rId18" o:title=""/>
          </v:shape>
          <o:OLEObject Type="Embed" ProgID="Package" ShapeID="_x0000_i1028" DrawAspect="Icon" ObjectID="_1626602101" r:id="rId19"/>
        </w:object>
      </w:r>
    </w:p>
    <w:p w:rsidR="006E6672" w:rsidRDefault="00066563">
      <w:pPr>
        <w:spacing w:line="360" w:lineRule="auto"/>
        <w:outlineLvl w:val="4"/>
        <w:rPr>
          <w:rFonts w:ascii="微软雅黑" w:eastAsia="微软雅黑" w:hAnsi="微软雅黑" w:cs="微软雅黑"/>
          <w:sz w:val="24"/>
        </w:rPr>
      </w:pPr>
      <w:r>
        <w:rPr>
          <w:rFonts w:ascii="微软雅黑" w:eastAsia="微软雅黑" w:hAnsi="微软雅黑" w:cs="微软雅黑" w:hint="eastAsia"/>
          <w:sz w:val="24"/>
        </w:rPr>
        <w:t>④安装完</w:t>
      </w:r>
      <w:r>
        <w:rPr>
          <w:rFonts w:ascii="微软雅黑" w:eastAsia="微软雅黑" w:hAnsi="微软雅黑" w:cs="微软雅黑" w:hint="eastAsia"/>
          <w:sz w:val="24"/>
          <w:u w:val="single"/>
        </w:rPr>
        <w:t>文鼎创钥匙驱动</w:t>
      </w:r>
      <w:r>
        <w:rPr>
          <w:rFonts w:ascii="微软雅黑" w:eastAsia="微软雅黑" w:hAnsi="微软雅黑" w:cs="微软雅黑" w:hint="eastAsia"/>
          <w:sz w:val="24"/>
        </w:rPr>
        <w:t>和</w:t>
      </w:r>
      <w:r>
        <w:rPr>
          <w:rFonts w:ascii="微软雅黑" w:eastAsia="微软雅黑" w:hAnsi="微软雅黑" w:cs="微软雅黑" w:hint="eastAsia"/>
          <w:sz w:val="24"/>
          <w:u w:val="single"/>
        </w:rPr>
        <w:t>客户端控件v2.17</w:t>
      </w:r>
      <w:r>
        <w:rPr>
          <w:rFonts w:ascii="微软雅黑" w:eastAsia="微软雅黑" w:hAnsi="微软雅黑" w:cs="微软雅黑" w:hint="eastAsia"/>
          <w:sz w:val="24"/>
        </w:rPr>
        <w:t>后，查看桌面存在如下图标，双击桌面图标运行检测工具，确定IA设备有公司信息。</w:t>
      </w:r>
    </w:p>
    <w:p w:rsidR="006E6672" w:rsidRDefault="00066563">
      <w:pPr>
        <w:spacing w:line="360" w:lineRule="auto"/>
        <w:jc w:val="center"/>
        <w:rPr>
          <w:rFonts w:ascii="微软雅黑" w:eastAsia="微软雅黑" w:hAnsi="微软雅黑" w:cs="微软雅黑"/>
          <w:sz w:val="24"/>
        </w:rPr>
      </w:pPr>
      <w:r>
        <w:rPr>
          <w:rFonts w:ascii="微软雅黑" w:eastAsia="微软雅黑" w:hAnsi="微软雅黑" w:cs="微软雅黑" w:hint="eastAsia"/>
          <w:noProof/>
          <w:sz w:val="24"/>
        </w:rPr>
        <w:drawing>
          <wp:inline distT="0" distB="0" distL="114300" distR="114300">
            <wp:extent cx="742950" cy="876300"/>
            <wp:effectExtent l="0" t="0" r="0" b="0"/>
            <wp:docPr id="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1"/>
                    <pic:cNvPicPr>
                      <a:picLocks noChangeAspect="1"/>
                    </pic:cNvPicPr>
                  </pic:nvPicPr>
                  <pic:blipFill>
                    <a:blip r:embed="rId20"/>
                    <a:stretch>
                      <a:fillRect/>
                    </a:stretch>
                  </pic:blipFill>
                  <pic:spPr>
                    <a:xfrm>
                      <a:off x="0" y="0"/>
                      <a:ext cx="742950" cy="876300"/>
                    </a:xfrm>
                    <a:prstGeom prst="rect">
                      <a:avLst/>
                    </a:prstGeom>
                    <a:noFill/>
                    <a:ln w="9525">
                      <a:noFill/>
                    </a:ln>
                  </pic:spPr>
                </pic:pic>
              </a:graphicData>
            </a:graphic>
          </wp:inline>
        </w:drawing>
      </w:r>
    </w:p>
    <w:p w:rsidR="006E6672" w:rsidRDefault="00066563">
      <w:pPr>
        <w:spacing w:line="360" w:lineRule="auto"/>
        <w:jc w:val="center"/>
        <w:rPr>
          <w:rFonts w:ascii="微软雅黑" w:eastAsia="微软雅黑" w:hAnsi="微软雅黑" w:cs="微软雅黑"/>
          <w:sz w:val="24"/>
        </w:rPr>
      </w:pPr>
      <w:r>
        <w:rPr>
          <w:noProof/>
        </w:rPr>
        <w:lastRenderedPageBreak/>
        <w:drawing>
          <wp:inline distT="0" distB="0" distL="114300" distR="114300">
            <wp:extent cx="5270500" cy="3504565"/>
            <wp:effectExtent l="12700" t="12700" r="12700" b="26035"/>
            <wp:docPr id="1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8"/>
                    <pic:cNvPicPr>
                      <a:picLocks noChangeAspect="1"/>
                    </pic:cNvPicPr>
                  </pic:nvPicPr>
                  <pic:blipFill>
                    <a:blip r:embed="rId21"/>
                    <a:stretch>
                      <a:fillRect/>
                    </a:stretch>
                  </pic:blipFill>
                  <pic:spPr>
                    <a:xfrm>
                      <a:off x="0" y="0"/>
                      <a:ext cx="5270500" cy="3504565"/>
                    </a:xfrm>
                    <a:prstGeom prst="rect">
                      <a:avLst/>
                    </a:prstGeom>
                    <a:noFill/>
                    <a:ln w="12700">
                      <a:solidFill>
                        <a:schemeClr val="tx1"/>
                      </a:solidFill>
                    </a:ln>
                  </pic:spPr>
                </pic:pic>
              </a:graphicData>
            </a:graphic>
          </wp:inline>
        </w:drawing>
      </w:r>
    </w:p>
    <w:p w:rsidR="006E6672" w:rsidRDefault="006E6672">
      <w:pPr>
        <w:spacing w:line="360" w:lineRule="auto"/>
        <w:rPr>
          <w:rFonts w:ascii="微软雅黑" w:eastAsia="微软雅黑" w:hAnsi="微软雅黑" w:cs="微软雅黑"/>
          <w:sz w:val="24"/>
        </w:rPr>
      </w:pPr>
    </w:p>
    <w:p w:rsidR="006E6672" w:rsidRDefault="00066563">
      <w:pPr>
        <w:spacing w:line="360" w:lineRule="auto"/>
        <w:outlineLvl w:val="4"/>
        <w:rPr>
          <w:rFonts w:ascii="微软雅黑" w:eastAsia="微软雅黑" w:hAnsi="微软雅黑" w:cs="微软雅黑"/>
          <w:sz w:val="24"/>
        </w:rPr>
      </w:pPr>
      <w:r>
        <w:rPr>
          <w:rFonts w:ascii="微软雅黑" w:eastAsia="微软雅黑" w:hAnsi="微软雅黑" w:cs="微软雅黑" w:hint="eastAsia"/>
          <w:sz w:val="24"/>
        </w:rPr>
        <w:t>⑤打开自然人税收管理扣缴客户端，完成申报流程。</w:t>
      </w:r>
    </w:p>
    <w:p w:rsidR="006E6672" w:rsidRDefault="00066563">
      <w:pPr>
        <w:spacing w:line="360" w:lineRule="auto"/>
        <w:outlineLvl w:val="3"/>
        <w:rPr>
          <w:rFonts w:ascii="微软雅黑" w:eastAsia="微软雅黑" w:hAnsi="微软雅黑" w:cs="微软雅黑"/>
          <w:sz w:val="24"/>
        </w:rPr>
      </w:pPr>
      <w:r>
        <w:rPr>
          <w:rFonts w:ascii="微软雅黑" w:eastAsia="微软雅黑" w:hAnsi="微软雅黑" w:cs="微软雅黑" w:hint="eastAsia"/>
          <w:sz w:val="24"/>
        </w:rPr>
        <w:t>2.3自然人税收管理扣缴客户端使用航信金税盘申报个人所得税的操作方法：</w:t>
      </w:r>
    </w:p>
    <w:p w:rsidR="006E6672" w:rsidRDefault="00066563">
      <w:pPr>
        <w:outlineLvl w:val="4"/>
        <w:rPr>
          <w:rFonts w:ascii="微软雅黑" w:eastAsia="微软雅黑" w:hAnsi="微软雅黑" w:cs="微软雅黑"/>
          <w:sz w:val="24"/>
        </w:rPr>
      </w:pPr>
      <w:r>
        <w:rPr>
          <w:rFonts w:ascii="微软雅黑" w:eastAsia="微软雅黑" w:hAnsi="微软雅黑" w:cs="微软雅黑" w:hint="eastAsia"/>
          <w:sz w:val="24"/>
        </w:rPr>
        <w:t>①先下载金税盘驱动安装包压缩文件</w:t>
      </w:r>
    </w:p>
    <w:p w:rsidR="006E6672" w:rsidRDefault="00066563">
      <w:pPr>
        <w:jc w:val="center"/>
        <w:rPr>
          <w:rFonts w:ascii="微软雅黑" w:eastAsia="微软雅黑" w:hAnsi="微软雅黑" w:cs="微软雅黑"/>
          <w:sz w:val="24"/>
        </w:rPr>
      </w:pPr>
      <w:r>
        <w:rPr>
          <w:rFonts w:ascii="微软雅黑" w:eastAsia="微软雅黑" w:hAnsi="微软雅黑" w:cs="微软雅黑" w:hint="eastAsia"/>
          <w:sz w:val="24"/>
        </w:rPr>
        <w:object w:dxaOrig="1455" w:dyaOrig="1320">
          <v:shape id="_x0000_i1029" type="#_x0000_t75" style="width:72.75pt;height:66pt" o:ole="">
            <v:imagedata r:id="rId22" o:title=""/>
          </v:shape>
          <o:OLEObject Type="Embed" ProgID="Package" ShapeID="_x0000_i1029" DrawAspect="Icon" ObjectID="_1626602102" r:id="rId23"/>
        </w:object>
      </w:r>
    </w:p>
    <w:p w:rsidR="006E6672" w:rsidRDefault="00066563">
      <w:pPr>
        <w:spacing w:line="360" w:lineRule="auto"/>
        <w:outlineLvl w:val="4"/>
        <w:rPr>
          <w:rFonts w:ascii="微软雅黑" w:eastAsia="微软雅黑" w:hAnsi="微软雅黑" w:cs="微软雅黑"/>
          <w:sz w:val="24"/>
        </w:rPr>
      </w:pPr>
      <w:r>
        <w:rPr>
          <w:rFonts w:ascii="微软雅黑" w:eastAsia="微软雅黑" w:hAnsi="微软雅黑" w:cs="微软雅黑" w:hint="eastAsia"/>
          <w:sz w:val="24"/>
        </w:rPr>
        <w:t>②安装金税盘驱动文件</w:t>
      </w:r>
    </w:p>
    <w:p w:rsidR="006E6672" w:rsidRDefault="00066563">
      <w:pPr>
        <w:spacing w:line="360" w:lineRule="auto"/>
        <w:jc w:val="center"/>
        <w:rPr>
          <w:rFonts w:ascii="微软雅黑" w:eastAsia="微软雅黑" w:hAnsi="微软雅黑" w:cs="微软雅黑"/>
          <w:sz w:val="24"/>
        </w:rPr>
      </w:pPr>
      <w:r>
        <w:rPr>
          <w:noProof/>
        </w:rPr>
        <w:lastRenderedPageBreak/>
        <w:drawing>
          <wp:inline distT="0" distB="0" distL="114300" distR="114300">
            <wp:extent cx="4790440" cy="3437890"/>
            <wp:effectExtent l="12700" t="12700" r="16510" b="16510"/>
            <wp:docPr id="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3"/>
                    <pic:cNvPicPr>
                      <a:picLocks noChangeAspect="1"/>
                    </pic:cNvPicPr>
                  </pic:nvPicPr>
                  <pic:blipFill>
                    <a:blip r:embed="rId24"/>
                    <a:stretch>
                      <a:fillRect/>
                    </a:stretch>
                  </pic:blipFill>
                  <pic:spPr>
                    <a:xfrm>
                      <a:off x="0" y="0"/>
                      <a:ext cx="4790440" cy="3437890"/>
                    </a:xfrm>
                    <a:prstGeom prst="rect">
                      <a:avLst/>
                    </a:prstGeom>
                    <a:noFill/>
                    <a:ln w="12700">
                      <a:solidFill>
                        <a:schemeClr val="tx1"/>
                      </a:solidFill>
                    </a:ln>
                  </pic:spPr>
                </pic:pic>
              </a:graphicData>
            </a:graphic>
          </wp:inline>
        </w:drawing>
      </w:r>
    </w:p>
    <w:p w:rsidR="006E6672" w:rsidRDefault="00066563">
      <w:pPr>
        <w:spacing w:line="360" w:lineRule="auto"/>
        <w:outlineLvl w:val="4"/>
        <w:rPr>
          <w:rFonts w:ascii="微软雅黑" w:eastAsia="微软雅黑" w:hAnsi="微软雅黑" w:cs="微软雅黑"/>
          <w:sz w:val="24"/>
        </w:rPr>
      </w:pPr>
      <w:r>
        <w:rPr>
          <w:rFonts w:ascii="微软雅黑" w:eastAsia="微软雅黑" w:hAnsi="微软雅黑" w:cs="微软雅黑" w:hint="eastAsia"/>
          <w:sz w:val="24"/>
        </w:rPr>
        <w:t>③下载“应用安全支撑平台安全客户端控件v2.17.exe”，并安装。</w:t>
      </w:r>
    </w:p>
    <w:p w:rsidR="006E6672" w:rsidRDefault="00066563">
      <w:pPr>
        <w:spacing w:line="360" w:lineRule="auto"/>
        <w:jc w:val="center"/>
        <w:rPr>
          <w:rFonts w:ascii="微软雅黑" w:eastAsia="微软雅黑" w:hAnsi="微软雅黑" w:cs="微软雅黑"/>
          <w:sz w:val="24"/>
        </w:rPr>
      </w:pPr>
      <w:r>
        <w:rPr>
          <w:rFonts w:ascii="微软雅黑" w:eastAsia="微软雅黑" w:hAnsi="微软雅黑" w:cs="微软雅黑" w:hint="eastAsia"/>
          <w:sz w:val="24"/>
        </w:rPr>
        <w:object w:dxaOrig="1455" w:dyaOrig="1320">
          <v:shape id="_x0000_i1030" type="#_x0000_t75" style="width:72.75pt;height:66pt" o:ole="">
            <v:imagedata r:id="rId25" o:title=""/>
          </v:shape>
          <o:OLEObject Type="Embed" ProgID="Package" ShapeID="_x0000_i1030" DrawAspect="Icon" ObjectID="_1626602103" r:id="rId26"/>
        </w:object>
      </w:r>
    </w:p>
    <w:p w:rsidR="006E6672" w:rsidRDefault="00066563">
      <w:pPr>
        <w:spacing w:line="360" w:lineRule="auto"/>
        <w:outlineLvl w:val="4"/>
        <w:rPr>
          <w:rFonts w:ascii="微软雅黑" w:eastAsia="微软雅黑" w:hAnsi="微软雅黑" w:cs="微软雅黑"/>
          <w:sz w:val="24"/>
        </w:rPr>
      </w:pPr>
      <w:r>
        <w:rPr>
          <w:rFonts w:ascii="微软雅黑" w:eastAsia="微软雅黑" w:hAnsi="微软雅黑" w:cs="微软雅黑" w:hint="eastAsia"/>
          <w:sz w:val="24"/>
        </w:rPr>
        <w:t>④</w:t>
      </w:r>
      <w:r>
        <w:rPr>
          <w:rFonts w:ascii="微软雅黑" w:eastAsia="微软雅黑" w:hAnsi="微软雅黑" w:cs="微软雅黑" w:hint="eastAsia"/>
          <w:sz w:val="24"/>
          <w:u w:val="single"/>
        </w:rPr>
        <w:t>金税盘驱动文件</w:t>
      </w:r>
      <w:r>
        <w:rPr>
          <w:rFonts w:ascii="微软雅黑" w:eastAsia="微软雅黑" w:hAnsi="微软雅黑" w:cs="微软雅黑" w:hint="eastAsia"/>
          <w:sz w:val="24"/>
        </w:rPr>
        <w:t>和</w:t>
      </w:r>
      <w:r>
        <w:rPr>
          <w:rFonts w:ascii="微软雅黑" w:eastAsia="微软雅黑" w:hAnsi="微软雅黑" w:cs="微软雅黑" w:hint="eastAsia"/>
          <w:sz w:val="24"/>
          <w:u w:val="single"/>
        </w:rPr>
        <w:t>客户端控件v2.17</w:t>
      </w:r>
      <w:r>
        <w:rPr>
          <w:rFonts w:ascii="微软雅黑" w:eastAsia="微软雅黑" w:hAnsi="微软雅黑" w:cs="微软雅黑" w:hint="eastAsia"/>
          <w:sz w:val="24"/>
        </w:rPr>
        <w:t>确定都已经安装完成后， 查看桌面存在如下图标，双击桌面图标运行检测工具，确定IA设备有公司信息。</w:t>
      </w:r>
    </w:p>
    <w:p w:rsidR="006E6672" w:rsidRDefault="00066563">
      <w:pPr>
        <w:spacing w:line="360" w:lineRule="auto"/>
        <w:jc w:val="center"/>
      </w:pPr>
      <w:r>
        <w:rPr>
          <w:noProof/>
        </w:rPr>
        <w:drawing>
          <wp:inline distT="0" distB="0" distL="114300" distR="114300">
            <wp:extent cx="733425" cy="866775"/>
            <wp:effectExtent l="12700" t="12700" r="15875" b="15875"/>
            <wp:docPr id="1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5"/>
                    <pic:cNvPicPr>
                      <a:picLocks noChangeAspect="1"/>
                    </pic:cNvPicPr>
                  </pic:nvPicPr>
                  <pic:blipFill>
                    <a:blip r:embed="rId27"/>
                    <a:stretch>
                      <a:fillRect/>
                    </a:stretch>
                  </pic:blipFill>
                  <pic:spPr>
                    <a:xfrm>
                      <a:off x="0" y="0"/>
                      <a:ext cx="733425" cy="866775"/>
                    </a:xfrm>
                    <a:prstGeom prst="rect">
                      <a:avLst/>
                    </a:prstGeom>
                    <a:noFill/>
                    <a:ln w="12700">
                      <a:solidFill>
                        <a:schemeClr val="tx1"/>
                      </a:solidFill>
                    </a:ln>
                  </pic:spPr>
                </pic:pic>
              </a:graphicData>
            </a:graphic>
          </wp:inline>
        </w:drawing>
      </w:r>
    </w:p>
    <w:p w:rsidR="006E6672" w:rsidRDefault="00066563">
      <w:pPr>
        <w:spacing w:line="360" w:lineRule="auto"/>
        <w:jc w:val="center"/>
      </w:pPr>
      <w:r>
        <w:rPr>
          <w:noProof/>
        </w:rPr>
        <w:lastRenderedPageBreak/>
        <w:drawing>
          <wp:inline distT="0" distB="0" distL="114300" distR="114300">
            <wp:extent cx="3418840" cy="4037965"/>
            <wp:effectExtent l="12700" t="12700" r="16510" b="2603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28"/>
                    <a:stretch>
                      <a:fillRect/>
                    </a:stretch>
                  </pic:blipFill>
                  <pic:spPr>
                    <a:xfrm>
                      <a:off x="0" y="0"/>
                      <a:ext cx="3418840" cy="4037965"/>
                    </a:xfrm>
                    <a:prstGeom prst="rect">
                      <a:avLst/>
                    </a:prstGeom>
                    <a:noFill/>
                    <a:ln w="12700">
                      <a:solidFill>
                        <a:schemeClr val="tx1"/>
                      </a:solidFill>
                    </a:ln>
                  </pic:spPr>
                </pic:pic>
              </a:graphicData>
            </a:graphic>
          </wp:inline>
        </w:drawing>
      </w:r>
    </w:p>
    <w:p w:rsidR="006E6672" w:rsidRDefault="006E6672">
      <w:pPr>
        <w:spacing w:line="360" w:lineRule="auto"/>
      </w:pPr>
    </w:p>
    <w:p w:rsidR="006E6672" w:rsidRDefault="00066563">
      <w:pPr>
        <w:spacing w:line="360" w:lineRule="auto"/>
        <w:outlineLvl w:val="4"/>
        <w:rPr>
          <w:rFonts w:ascii="微软雅黑" w:eastAsia="微软雅黑" w:hAnsi="微软雅黑" w:cs="微软雅黑"/>
          <w:sz w:val="24"/>
        </w:rPr>
      </w:pPr>
      <w:r>
        <w:rPr>
          <w:rFonts w:ascii="微软雅黑" w:eastAsia="微软雅黑" w:hAnsi="微软雅黑" w:cs="微软雅黑" w:hint="eastAsia"/>
          <w:sz w:val="24"/>
        </w:rPr>
        <w:t>⑤打开自然人税收管理扣缴客户端，完成申报流程。</w:t>
      </w:r>
    </w:p>
    <w:p w:rsidR="006E6672" w:rsidRPr="00066563" w:rsidRDefault="00066563" w:rsidP="00066563">
      <w:pPr>
        <w:jc w:val="left"/>
        <w:outlineLvl w:val="1"/>
        <w:rPr>
          <w:rFonts w:ascii="微软雅黑" w:eastAsia="微软雅黑" w:hAnsi="微软雅黑" w:cs="微软雅黑"/>
          <w:b/>
          <w:bCs/>
          <w:sz w:val="28"/>
          <w:szCs w:val="28"/>
        </w:rPr>
      </w:pPr>
      <w:r w:rsidRPr="00066563">
        <w:rPr>
          <w:rFonts w:ascii="微软雅黑" w:eastAsia="微软雅黑" w:hAnsi="微软雅黑" w:cs="微软雅黑" w:hint="eastAsia"/>
          <w:b/>
          <w:bCs/>
          <w:sz w:val="28"/>
          <w:szCs w:val="28"/>
        </w:rPr>
        <w:t>三、备注</w:t>
      </w:r>
    </w:p>
    <w:p w:rsidR="006E6672" w:rsidRDefault="00066563">
      <w:pPr>
        <w:spacing w:line="360" w:lineRule="auto"/>
        <w:outlineLvl w:val="2"/>
        <w:rPr>
          <w:rFonts w:ascii="微软雅黑" w:eastAsia="微软雅黑" w:hAnsi="微软雅黑" w:cs="微软雅黑"/>
          <w:sz w:val="24"/>
        </w:rPr>
      </w:pPr>
      <w:r>
        <w:rPr>
          <w:rFonts w:ascii="微软雅黑" w:eastAsia="微软雅黑" w:hAnsi="微软雅黑" w:cs="微软雅黑" w:hint="eastAsia"/>
          <w:sz w:val="24"/>
        </w:rPr>
        <w:t>1.所有提到的驱动安装文件均以附件格式插入到文档中了，请自行下载。</w:t>
      </w:r>
    </w:p>
    <w:p w:rsidR="006E6672" w:rsidRDefault="00066563">
      <w:pPr>
        <w:spacing w:line="360" w:lineRule="auto"/>
        <w:outlineLvl w:val="2"/>
        <w:rPr>
          <w:rFonts w:ascii="微软雅黑" w:eastAsia="微软雅黑" w:hAnsi="微软雅黑" w:cs="微软雅黑"/>
          <w:sz w:val="24"/>
        </w:rPr>
      </w:pPr>
      <w:r>
        <w:rPr>
          <w:rFonts w:ascii="微软雅黑" w:eastAsia="微软雅黑" w:hAnsi="微软雅黑" w:cs="微软雅黑" w:hint="eastAsia"/>
          <w:sz w:val="24"/>
        </w:rPr>
        <w:t>2.使用总局IA申报个税，需要先安装驱动，基本上都是</w:t>
      </w:r>
      <w:r>
        <w:rPr>
          <w:rFonts w:ascii="微软雅黑" w:eastAsia="微软雅黑" w:hAnsi="微软雅黑" w:cs="微软雅黑" w:hint="eastAsia"/>
          <w:sz w:val="24"/>
          <w:u w:val="single"/>
        </w:rPr>
        <w:t>IA设备驱动</w:t>
      </w:r>
      <w:r>
        <w:rPr>
          <w:rFonts w:ascii="微软雅黑" w:eastAsia="微软雅黑" w:hAnsi="微软雅黑" w:cs="微软雅黑" w:hint="eastAsia"/>
          <w:sz w:val="24"/>
        </w:rPr>
        <w:t>+</w:t>
      </w:r>
      <w:r>
        <w:rPr>
          <w:rFonts w:ascii="微软雅黑" w:eastAsia="微软雅黑" w:hAnsi="微软雅黑" w:cs="微软雅黑" w:hint="eastAsia"/>
          <w:sz w:val="24"/>
          <w:u w:val="single"/>
        </w:rPr>
        <w:t>应用安全支撑平台安全客户端控件</w:t>
      </w:r>
      <w:r>
        <w:rPr>
          <w:rFonts w:ascii="微软雅黑" w:eastAsia="微软雅黑" w:hAnsi="微软雅黑" w:cs="微软雅黑" w:hint="eastAsia"/>
          <w:sz w:val="24"/>
        </w:rPr>
        <w:t>的搭配下载，同时安装后再进入自然人扣缴客户端。</w:t>
      </w:r>
    </w:p>
    <w:p w:rsidR="006E6672" w:rsidRDefault="006E6672">
      <w:pPr>
        <w:spacing w:line="360" w:lineRule="auto"/>
        <w:rPr>
          <w:rFonts w:ascii="微软雅黑" w:eastAsia="微软雅黑" w:hAnsi="微软雅黑" w:cs="微软雅黑"/>
          <w:sz w:val="24"/>
        </w:rPr>
      </w:pPr>
    </w:p>
    <w:p w:rsidR="006E6672" w:rsidRDefault="006E6672">
      <w:pPr>
        <w:jc w:val="left"/>
        <w:rPr>
          <w:rFonts w:ascii="微软雅黑" w:eastAsia="微软雅黑" w:hAnsi="微软雅黑" w:cs="微软雅黑"/>
          <w:sz w:val="24"/>
        </w:rPr>
      </w:pPr>
    </w:p>
    <w:p w:rsidR="006E6672" w:rsidRDefault="006E6672">
      <w:pPr>
        <w:jc w:val="left"/>
        <w:rPr>
          <w:rFonts w:ascii="微软雅黑" w:eastAsia="微软雅黑" w:hAnsi="微软雅黑" w:cs="微软雅黑"/>
          <w:sz w:val="24"/>
        </w:rPr>
      </w:pPr>
    </w:p>
    <w:p w:rsidR="006E6672" w:rsidRDefault="006E6672">
      <w:pPr>
        <w:jc w:val="left"/>
        <w:rPr>
          <w:rFonts w:ascii="微软雅黑" w:eastAsia="微软雅黑" w:hAnsi="微软雅黑" w:cs="微软雅黑"/>
          <w:sz w:val="24"/>
        </w:rPr>
      </w:pPr>
    </w:p>
    <w:p w:rsidR="006E6672" w:rsidRDefault="006E6672">
      <w:pPr>
        <w:jc w:val="left"/>
        <w:rPr>
          <w:rFonts w:ascii="微软雅黑" w:eastAsia="微软雅黑" w:hAnsi="微软雅黑" w:cs="微软雅黑"/>
          <w:sz w:val="24"/>
        </w:rPr>
      </w:pPr>
    </w:p>
    <w:sectPr w:rsidR="006E667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97D3A" w:rsidRDefault="00A97D3A" w:rsidP="00F41EB3">
      <w:r>
        <w:separator/>
      </w:r>
    </w:p>
  </w:endnote>
  <w:endnote w:type="continuationSeparator" w:id="0">
    <w:p w:rsidR="00A97D3A" w:rsidRDefault="00A97D3A" w:rsidP="00F41E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43" w:usb2="00000009" w:usb3="00000000" w:csb0="000001FF" w:csb1="00000000"/>
  </w:font>
  <w:font w:name="微软雅黑">
    <w:panose1 w:val="020B0503020204020204"/>
    <w:charset w:val="86"/>
    <w:family w:val="swiss"/>
    <w:pitch w:val="variable"/>
    <w:sig w:usb0="80000287" w:usb1="28C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97D3A" w:rsidRDefault="00A97D3A" w:rsidP="00F41EB3">
      <w:r>
        <w:separator/>
      </w:r>
    </w:p>
  </w:footnote>
  <w:footnote w:type="continuationSeparator" w:id="0">
    <w:p w:rsidR="00A97D3A" w:rsidRDefault="00A97D3A" w:rsidP="00F41EB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attachedTemplate r:id="rId1"/>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75263C0"/>
    <w:rsid w:val="00066563"/>
    <w:rsid w:val="004B1CCE"/>
    <w:rsid w:val="006E6672"/>
    <w:rsid w:val="00A97D3A"/>
    <w:rsid w:val="00F41EB3"/>
    <w:rsid w:val="12E91AAA"/>
    <w:rsid w:val="175263C0"/>
    <w:rsid w:val="1F713C4D"/>
    <w:rsid w:val="39626DE0"/>
    <w:rsid w:val="51696EE3"/>
    <w:rsid w:val="54B56529"/>
    <w:rsid w:val="6D535020"/>
    <w:rsid w:val="7DD272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CE1E7799-7605-4804-92BF-07F53FDBAB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rsid w:val="00F41EB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F41EB3"/>
    <w:rPr>
      <w:kern w:val="2"/>
      <w:sz w:val="18"/>
      <w:szCs w:val="18"/>
    </w:rPr>
  </w:style>
  <w:style w:type="paragraph" w:styleId="a4">
    <w:name w:val="footer"/>
    <w:basedOn w:val="a"/>
    <w:link w:val="Char0"/>
    <w:rsid w:val="00F41EB3"/>
    <w:pPr>
      <w:tabs>
        <w:tab w:val="center" w:pos="4153"/>
        <w:tab w:val="right" w:pos="8306"/>
      </w:tabs>
      <w:snapToGrid w:val="0"/>
      <w:jc w:val="left"/>
    </w:pPr>
    <w:rPr>
      <w:sz w:val="18"/>
      <w:szCs w:val="18"/>
    </w:rPr>
  </w:style>
  <w:style w:type="character" w:customStyle="1" w:styleId="Char0">
    <w:name w:val="页脚 Char"/>
    <w:basedOn w:val="a0"/>
    <w:link w:val="a4"/>
    <w:rsid w:val="00F41EB3"/>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5.png"/><Relationship Id="rId18" Type="http://schemas.openxmlformats.org/officeDocument/2006/relationships/image" Target="media/image9.emf"/><Relationship Id="rId26" Type="http://schemas.openxmlformats.org/officeDocument/2006/relationships/oleObject" Target="embeddings/oleObject6.bin"/><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image" Target="media/image1.png"/><Relationship Id="rId12" Type="http://schemas.openxmlformats.org/officeDocument/2006/relationships/oleObject" Target="embeddings/oleObject2.bin"/><Relationship Id="rId17" Type="http://schemas.openxmlformats.org/officeDocument/2006/relationships/image" Target="media/image8.png"/><Relationship Id="rId25" Type="http://schemas.openxmlformats.org/officeDocument/2006/relationships/image" Target="media/image14.emf"/><Relationship Id="rId2" Type="http://schemas.openxmlformats.org/officeDocument/2006/relationships/styles" Target="styles.xml"/><Relationship Id="rId16" Type="http://schemas.openxmlformats.org/officeDocument/2006/relationships/oleObject" Target="embeddings/oleObject3.bin"/><Relationship Id="rId20" Type="http://schemas.openxmlformats.org/officeDocument/2006/relationships/image" Target="media/image10.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emf"/><Relationship Id="rId24" Type="http://schemas.openxmlformats.org/officeDocument/2006/relationships/image" Target="media/image13.png"/><Relationship Id="rId5" Type="http://schemas.openxmlformats.org/officeDocument/2006/relationships/footnotes" Target="footnotes.xml"/><Relationship Id="rId15" Type="http://schemas.openxmlformats.org/officeDocument/2006/relationships/image" Target="media/image7.emf"/><Relationship Id="rId23" Type="http://schemas.openxmlformats.org/officeDocument/2006/relationships/oleObject" Target="embeddings/oleObject5.bin"/><Relationship Id="rId28"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oleObject" Target="embeddings/oleObject4.bin"/><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6.png"/><Relationship Id="rId22" Type="http://schemas.openxmlformats.org/officeDocument/2006/relationships/image" Target="media/image12.emf"/><Relationship Id="rId27" Type="http://schemas.openxmlformats.org/officeDocument/2006/relationships/image" Target="media/image15.png"/><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AppData\Roaming\Kingsoft\wps\addons\pool\win-i386\knewfileruby_1.0.0.12\template\wps\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0.docx</Template>
  <TotalTime>19</TotalTime>
  <Pages>7</Pages>
  <Words>149</Words>
  <Characters>850</Characters>
  <Application>Microsoft Office Word</Application>
  <DocSecurity>0</DocSecurity>
  <Lines>7</Lines>
  <Paragraphs>1</Paragraphs>
  <ScaleCrop>false</ScaleCrop>
  <Company>JSGL</Company>
  <LinksUpToDate>false</LinksUpToDate>
  <CharactersWithSpaces>998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面包不是超人</dc:creator>
  <cp:lastModifiedBy>gerryc</cp:lastModifiedBy>
  <cp:revision>5</cp:revision>
  <dcterms:created xsi:type="dcterms:W3CDTF">2018-11-01T03:44:00Z</dcterms:created>
  <dcterms:modified xsi:type="dcterms:W3CDTF">2019-08-06T05:08:00Z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2052-11.1.0.8907</vt:lpwstr>
  </property>
</Properties>
</file>